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AC6D" w14:textId="09BE2D96" w:rsidR="00DD05EF" w:rsidRPr="00912683" w:rsidRDefault="00A97D41" w:rsidP="00DD05EF">
      <w:pPr>
        <w:rPr>
          <w:b/>
          <w:color w:val="262626"/>
          <w:szCs w:val="22"/>
        </w:rPr>
      </w:pPr>
      <w:r>
        <w:rPr>
          <w:b/>
          <w:color w:val="262626"/>
          <w:szCs w:val="22"/>
        </w:rPr>
        <w:t>April</w:t>
      </w:r>
      <w:r w:rsidR="00862A3E">
        <w:rPr>
          <w:b/>
          <w:color w:val="262626"/>
          <w:szCs w:val="22"/>
        </w:rPr>
        <w:t xml:space="preserve"> 2023</w:t>
      </w:r>
    </w:p>
    <w:p w14:paraId="4C24CC1B" w14:textId="77777777" w:rsidR="00DD05EF" w:rsidRPr="00912683" w:rsidRDefault="00862A3E" w:rsidP="00DD05EF">
      <w:pPr>
        <w:rPr>
          <w:b/>
          <w:color w:val="262626"/>
          <w:szCs w:val="22"/>
        </w:rPr>
      </w:pPr>
      <w:r>
        <w:rPr>
          <w:b/>
          <w:color w:val="262626"/>
          <w:szCs w:val="22"/>
        </w:rPr>
        <w:t>Water Supply Engineering Section, Water Quality B</w:t>
      </w:r>
      <w:r w:rsidR="00DD05EF" w:rsidRPr="00912683">
        <w:rPr>
          <w:b/>
          <w:color w:val="262626"/>
          <w:szCs w:val="22"/>
        </w:rPr>
        <w:t>ureau</w:t>
      </w:r>
    </w:p>
    <w:p w14:paraId="3AB700F9" w14:textId="330A3C9B" w:rsidR="00DD05EF" w:rsidRPr="00912683" w:rsidRDefault="00862A3E" w:rsidP="00DD05EF">
      <w:pPr>
        <w:rPr>
          <w:b/>
          <w:color w:val="262626"/>
          <w:szCs w:val="22"/>
        </w:rPr>
      </w:pPr>
      <w:r>
        <w:rPr>
          <w:b/>
          <w:color w:val="262626"/>
          <w:szCs w:val="22"/>
        </w:rPr>
        <w:t>Tara Naber, PE | 515-725-0292</w:t>
      </w:r>
      <w:r w:rsidR="00DD05EF" w:rsidRPr="00912683">
        <w:rPr>
          <w:b/>
          <w:color w:val="262626"/>
          <w:szCs w:val="22"/>
        </w:rPr>
        <w:t xml:space="preserve"> | </w:t>
      </w:r>
      <w:hyperlink r:id="rId8" w:history="1">
        <w:r w:rsidR="00BB6F10" w:rsidRPr="000D71B0">
          <w:rPr>
            <w:rStyle w:val="Hyperlink"/>
            <w:b/>
            <w:szCs w:val="22"/>
          </w:rPr>
          <w:t>tara.naber@dnr.iowa.gov</w:t>
        </w:r>
      </w:hyperlink>
    </w:p>
    <w:p w14:paraId="19AD3025" w14:textId="77777777" w:rsidR="00AA7490" w:rsidRPr="00DD05EF" w:rsidRDefault="00AA7490">
      <w:pPr>
        <w:rPr>
          <w:rFonts w:cs="Calibri"/>
        </w:rPr>
      </w:pPr>
    </w:p>
    <w:p w14:paraId="241CAD32" w14:textId="77777777" w:rsidR="00DD05EF" w:rsidRPr="008C3480" w:rsidRDefault="00862A3E" w:rsidP="00DD05EF">
      <w:pPr>
        <w:rPr>
          <w:b/>
          <w:color w:val="262626"/>
          <w:sz w:val="36"/>
          <w:szCs w:val="36"/>
        </w:rPr>
      </w:pPr>
      <w:r w:rsidRPr="008C3480">
        <w:rPr>
          <w:b/>
          <w:color w:val="262626"/>
          <w:sz w:val="36"/>
          <w:szCs w:val="36"/>
        </w:rPr>
        <w:t>Water Supply Engineering</w:t>
      </w:r>
      <w:r w:rsidR="0034692A" w:rsidRPr="008C3480">
        <w:rPr>
          <w:b/>
          <w:color w:val="262626"/>
          <w:sz w:val="36"/>
          <w:szCs w:val="36"/>
        </w:rPr>
        <w:t xml:space="preserve"> Section’s</w:t>
      </w:r>
      <w:r w:rsidRPr="008C3480">
        <w:rPr>
          <w:b/>
          <w:color w:val="262626"/>
          <w:sz w:val="36"/>
          <w:szCs w:val="36"/>
        </w:rPr>
        <w:t xml:space="preserve"> Drinking Water State Revolving Fund </w:t>
      </w:r>
      <w:r w:rsidR="00890AB9" w:rsidRPr="008C3480">
        <w:rPr>
          <w:b/>
          <w:color w:val="262626"/>
          <w:sz w:val="36"/>
          <w:szCs w:val="36"/>
        </w:rPr>
        <w:t xml:space="preserve">Lead Service Line Replacement </w:t>
      </w:r>
      <w:r w:rsidRPr="008C3480">
        <w:rPr>
          <w:b/>
          <w:color w:val="262626"/>
          <w:sz w:val="36"/>
          <w:szCs w:val="36"/>
        </w:rPr>
        <w:t>Project Requirements</w:t>
      </w:r>
    </w:p>
    <w:p w14:paraId="7B2D2204" w14:textId="77777777" w:rsidR="007403B3" w:rsidRPr="00DD05EF" w:rsidRDefault="007403B3" w:rsidP="007403B3">
      <w:pPr>
        <w:rPr>
          <w:rFonts w:cs="Calibri"/>
          <w:szCs w:val="22"/>
        </w:rPr>
      </w:pPr>
    </w:p>
    <w:p w14:paraId="0D7EDEE7" w14:textId="77777777" w:rsidR="007403B3" w:rsidRPr="008C3480" w:rsidRDefault="0034692A" w:rsidP="00CA076E">
      <w:pPr>
        <w:autoSpaceDE w:val="0"/>
        <w:autoSpaceDN w:val="0"/>
        <w:adjustRightInd w:val="0"/>
        <w:rPr>
          <w:rFonts w:cs="Calibri"/>
          <w:b/>
          <w:color w:val="262626"/>
          <w:sz w:val="28"/>
          <w:szCs w:val="24"/>
        </w:rPr>
      </w:pPr>
      <w:r w:rsidRPr="008C3480">
        <w:rPr>
          <w:rFonts w:cs="Calibri"/>
          <w:b/>
          <w:color w:val="262626"/>
          <w:sz w:val="28"/>
          <w:szCs w:val="24"/>
        </w:rPr>
        <w:t>Introduction</w:t>
      </w:r>
    </w:p>
    <w:p w14:paraId="573A09AD" w14:textId="34622787" w:rsidR="0034692A" w:rsidRPr="00872576" w:rsidRDefault="0034692A" w:rsidP="00BB6F10">
      <w:r w:rsidRPr="00872576">
        <w:t xml:space="preserve">Drinking Water State Revolving Fund </w:t>
      </w:r>
      <w:r w:rsidR="00F6435D" w:rsidRPr="00872576">
        <w:t xml:space="preserve">(DWSRF) </w:t>
      </w:r>
      <w:r w:rsidRPr="00872576">
        <w:t xml:space="preserve">Intended Use Plan </w:t>
      </w:r>
      <w:r w:rsidR="00F6435D" w:rsidRPr="00872576">
        <w:t xml:space="preserve">(IUP) </w:t>
      </w:r>
      <w:r w:rsidRPr="00872576">
        <w:t>applications include a Preliminary Engineering Report</w:t>
      </w:r>
      <w:r w:rsidR="004F7BB4" w:rsidRPr="00872576">
        <w:t xml:space="preserve"> (PER)</w:t>
      </w:r>
      <w:r w:rsidRPr="00872576">
        <w:t xml:space="preserve">. The Bipartisan Infrastructure Law (BIL) includes funding for Lead Service Line Replacement (LSLR) projects. These projects are different </w:t>
      </w:r>
      <w:r w:rsidR="004F7BB4" w:rsidRPr="00872576">
        <w:t xml:space="preserve">enough </w:t>
      </w:r>
      <w:r w:rsidRPr="00872576">
        <w:t>from other drinking water infrastructure projects</w:t>
      </w:r>
      <w:r w:rsidR="004F7BB4" w:rsidRPr="00872576">
        <w:t xml:space="preserve"> that the Water Supply Engineering Section, which reviews and approves PERs, has set separate requirements for LSLR projects funded through Iowa’s DWSRF program. </w:t>
      </w:r>
    </w:p>
    <w:p w14:paraId="68920FCE" w14:textId="7AE4C8EF" w:rsidR="0034692A" w:rsidRDefault="0034692A" w:rsidP="002622CB">
      <w:pPr>
        <w:tabs>
          <w:tab w:val="left" w:pos="2880"/>
        </w:tabs>
        <w:rPr>
          <w:rFonts w:cs="Calibri"/>
          <w:sz w:val="21"/>
          <w:szCs w:val="21"/>
        </w:rPr>
      </w:pPr>
    </w:p>
    <w:p w14:paraId="4675497F" w14:textId="60466A9F" w:rsidR="00E5293E" w:rsidRPr="00872576" w:rsidRDefault="00E5293E" w:rsidP="00BB6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 xml:space="preserve">Service lines eligible for </w:t>
      </w:r>
      <w:r w:rsidR="00A97D41">
        <w:rPr>
          <w:rFonts w:cs="Calibri"/>
          <w:szCs w:val="21"/>
        </w:rPr>
        <w:t>replacement</w:t>
      </w:r>
      <w:r w:rsidRPr="00872576">
        <w:rPr>
          <w:rFonts w:cs="Calibri"/>
          <w:szCs w:val="21"/>
        </w:rPr>
        <w:t xml:space="preserve"> u</w:t>
      </w:r>
      <w:r w:rsidR="00A97D41">
        <w:rPr>
          <w:rFonts w:cs="Calibri"/>
          <w:szCs w:val="21"/>
        </w:rPr>
        <w:t>sing</w:t>
      </w:r>
      <w:r w:rsidRPr="00872576">
        <w:rPr>
          <w:rFonts w:cs="Calibri"/>
          <w:szCs w:val="21"/>
        </w:rPr>
        <w:t xml:space="preserve"> BIL LSLR funds must be</w:t>
      </w:r>
      <w:r w:rsidR="00A97D41">
        <w:rPr>
          <w:rFonts w:cs="Calibri"/>
          <w:szCs w:val="21"/>
        </w:rPr>
        <w:t xml:space="preserve"> either A)</w:t>
      </w:r>
      <w:r w:rsidRPr="00872576">
        <w:rPr>
          <w:rFonts w:cs="Calibri"/>
          <w:szCs w:val="21"/>
        </w:rPr>
        <w:t xml:space="preserve"> lead service lines or </w:t>
      </w:r>
      <w:r w:rsidR="00A97D41">
        <w:rPr>
          <w:rFonts w:cs="Calibri"/>
          <w:szCs w:val="21"/>
        </w:rPr>
        <w:t xml:space="preserve">B) </w:t>
      </w:r>
      <w:r w:rsidRPr="00872576">
        <w:rPr>
          <w:rFonts w:cs="Calibri"/>
          <w:szCs w:val="21"/>
        </w:rPr>
        <w:t xml:space="preserve">galvanized service lines that </w:t>
      </w:r>
      <w:r w:rsidR="00D1326E" w:rsidRPr="00872576">
        <w:rPr>
          <w:rFonts w:cs="Calibri"/>
          <w:szCs w:val="21"/>
        </w:rPr>
        <w:t xml:space="preserve">are or </w:t>
      </w:r>
      <w:r w:rsidRPr="00872576">
        <w:rPr>
          <w:rFonts w:cs="Calibri"/>
          <w:szCs w:val="21"/>
        </w:rPr>
        <w:t>were ever located downstream of lead service lines or</w:t>
      </w:r>
      <w:r w:rsidR="00FC42C4" w:rsidRPr="00872576">
        <w:rPr>
          <w:rFonts w:cs="Calibri"/>
          <w:szCs w:val="21"/>
        </w:rPr>
        <w:t xml:space="preserve"> lead</w:t>
      </w:r>
      <w:r w:rsidRPr="00872576">
        <w:rPr>
          <w:rFonts w:cs="Calibri"/>
          <w:szCs w:val="21"/>
        </w:rPr>
        <w:t xml:space="preserve"> connectors within the service line. </w:t>
      </w:r>
    </w:p>
    <w:p w14:paraId="6989D151" w14:textId="53E2852E" w:rsidR="00597635" w:rsidRDefault="00597635" w:rsidP="002622CB">
      <w:pPr>
        <w:tabs>
          <w:tab w:val="left" w:pos="2880"/>
        </w:tabs>
        <w:rPr>
          <w:rFonts w:cs="Calibri"/>
          <w:sz w:val="21"/>
          <w:szCs w:val="21"/>
        </w:rPr>
      </w:pPr>
    </w:p>
    <w:p w14:paraId="328211EC" w14:textId="3725FBB9" w:rsidR="00597635" w:rsidRPr="00872576" w:rsidRDefault="00165543" w:rsidP="002622CB">
      <w:p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 xml:space="preserve">This document is intended to provide guidance and direction for LSLR projects that will be submitted for inclusion in </w:t>
      </w:r>
      <w:r w:rsidR="00271A4A" w:rsidRPr="00872576">
        <w:rPr>
          <w:rFonts w:cs="Calibri"/>
          <w:szCs w:val="21"/>
        </w:rPr>
        <w:t>the IUP</w:t>
      </w:r>
      <w:r w:rsidRPr="00872576">
        <w:rPr>
          <w:rFonts w:cs="Calibri"/>
          <w:szCs w:val="21"/>
        </w:rPr>
        <w:t xml:space="preserve"> in anticipation of BIL LSLR funds once they are available as part of Iowa’s State Revolving Fund (SRF) program, or for regular DWSRF project funding.</w:t>
      </w:r>
      <w:r w:rsidR="00CB7141" w:rsidRPr="00872576">
        <w:rPr>
          <w:rFonts w:cs="Calibri"/>
          <w:szCs w:val="21"/>
        </w:rPr>
        <w:t xml:space="preserve"> This </w:t>
      </w:r>
      <w:r w:rsidR="002323DA" w:rsidRPr="00872576">
        <w:rPr>
          <w:rFonts w:cs="Calibri"/>
          <w:szCs w:val="21"/>
        </w:rPr>
        <w:t xml:space="preserve">document </w:t>
      </w:r>
      <w:r w:rsidR="00CB7141" w:rsidRPr="00872576">
        <w:rPr>
          <w:rFonts w:cs="Calibri"/>
          <w:szCs w:val="21"/>
        </w:rPr>
        <w:t>will be updated to accommodate changes as needed.</w:t>
      </w:r>
    </w:p>
    <w:p w14:paraId="0ECD40E0" w14:textId="77777777" w:rsidR="00165543" w:rsidRDefault="00165543" w:rsidP="002622CB">
      <w:pPr>
        <w:tabs>
          <w:tab w:val="left" w:pos="2880"/>
        </w:tabs>
        <w:rPr>
          <w:rFonts w:cs="Calibri"/>
          <w:sz w:val="21"/>
          <w:szCs w:val="21"/>
        </w:rPr>
      </w:pPr>
    </w:p>
    <w:p w14:paraId="60D1C8E7" w14:textId="451D6E3E" w:rsidR="00597635" w:rsidRPr="008C3480" w:rsidRDefault="00597635" w:rsidP="00597635">
      <w:pPr>
        <w:autoSpaceDE w:val="0"/>
        <w:autoSpaceDN w:val="0"/>
        <w:adjustRightInd w:val="0"/>
        <w:rPr>
          <w:rFonts w:cs="Calibri"/>
          <w:b/>
          <w:color w:val="262626"/>
          <w:sz w:val="28"/>
          <w:szCs w:val="24"/>
        </w:rPr>
      </w:pPr>
      <w:r w:rsidRPr="008C3480">
        <w:rPr>
          <w:rFonts w:cs="Calibri"/>
          <w:b/>
          <w:color w:val="262626"/>
          <w:sz w:val="28"/>
          <w:szCs w:val="24"/>
        </w:rPr>
        <w:t>Requirements for Project Plans for Lead Service Line Replacement</w:t>
      </w:r>
    </w:p>
    <w:p w14:paraId="119E3131" w14:textId="57871EB1" w:rsidR="00F6435D" w:rsidRPr="00872576" w:rsidRDefault="002622CB" w:rsidP="002622CB">
      <w:p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 xml:space="preserve">In lieu of a </w:t>
      </w:r>
      <w:r w:rsidR="004F7BB4" w:rsidRPr="00872576">
        <w:rPr>
          <w:rFonts w:cs="Calibri"/>
          <w:szCs w:val="21"/>
        </w:rPr>
        <w:t>PER,</w:t>
      </w:r>
      <w:r w:rsidRPr="00872576">
        <w:rPr>
          <w:rFonts w:cs="Calibri"/>
          <w:szCs w:val="21"/>
        </w:rPr>
        <w:t xml:space="preserve"> a</w:t>
      </w:r>
      <w:r w:rsidR="00F35EC5" w:rsidRPr="00872576">
        <w:rPr>
          <w:rFonts w:cs="Calibri"/>
          <w:szCs w:val="21"/>
        </w:rPr>
        <w:t>t a minimum</w:t>
      </w:r>
      <w:r w:rsidRPr="00872576">
        <w:rPr>
          <w:rFonts w:cs="Calibri"/>
          <w:szCs w:val="21"/>
        </w:rPr>
        <w:t xml:space="preserve"> </w:t>
      </w:r>
      <w:r w:rsidR="00625B1D" w:rsidRPr="00872576">
        <w:rPr>
          <w:rFonts w:cs="Calibri"/>
          <w:szCs w:val="21"/>
        </w:rPr>
        <w:t xml:space="preserve">a </w:t>
      </w:r>
      <w:r w:rsidR="0034692A" w:rsidRPr="00872576">
        <w:rPr>
          <w:rFonts w:cs="Calibri"/>
          <w:szCs w:val="21"/>
        </w:rPr>
        <w:t>“</w:t>
      </w:r>
      <w:r w:rsidRPr="00872576">
        <w:rPr>
          <w:rFonts w:cs="Calibri"/>
          <w:szCs w:val="21"/>
        </w:rPr>
        <w:t>Project Plan for Lead Service Line Replacement</w:t>
      </w:r>
      <w:r w:rsidR="0034692A" w:rsidRPr="00872576">
        <w:rPr>
          <w:rFonts w:cs="Calibri"/>
          <w:szCs w:val="21"/>
        </w:rPr>
        <w:t>”</w:t>
      </w:r>
      <w:r w:rsidR="004F7BB4" w:rsidRPr="00872576">
        <w:rPr>
          <w:rFonts w:cs="Calibri"/>
          <w:szCs w:val="21"/>
        </w:rPr>
        <w:t xml:space="preserve"> is required</w:t>
      </w:r>
      <w:r w:rsidRPr="00872576">
        <w:rPr>
          <w:rFonts w:cs="Calibri"/>
          <w:szCs w:val="21"/>
        </w:rPr>
        <w:t xml:space="preserve">. </w:t>
      </w:r>
      <w:r w:rsidR="00F35EC5" w:rsidRPr="00872576">
        <w:rPr>
          <w:rFonts w:cs="Calibri"/>
          <w:szCs w:val="21"/>
        </w:rPr>
        <w:t>Although a PER is acceptable, t</w:t>
      </w:r>
      <w:r w:rsidR="008C7F7E" w:rsidRPr="00872576">
        <w:rPr>
          <w:rFonts w:cs="Calibri"/>
          <w:szCs w:val="21"/>
        </w:rPr>
        <w:t xml:space="preserve">he Project Plan for Lead Service Line Replacement does not need to be covered by an engineer’s completed Iowa certification block with stamp, signature, and date. </w:t>
      </w:r>
      <w:r w:rsidR="00FC42C4" w:rsidRPr="00872576">
        <w:rPr>
          <w:rFonts w:cs="Calibri"/>
          <w:szCs w:val="21"/>
        </w:rPr>
        <w:t xml:space="preserve">If a PER is submitted, it will need to include the same information needed in a Project Plan for Lead Service Line Replacement. </w:t>
      </w:r>
      <w:r w:rsidR="00F6435D" w:rsidRPr="00872576">
        <w:rPr>
          <w:rFonts w:cs="Calibri"/>
          <w:szCs w:val="21"/>
        </w:rPr>
        <w:t xml:space="preserve">The Project Plan for Lead Service Line Replacement should be submitted with the IUP application to </w:t>
      </w:r>
      <w:hyperlink r:id="rId9" w:history="1">
        <w:r w:rsidR="00BB6F10" w:rsidRPr="000D71B0">
          <w:rPr>
            <w:rStyle w:val="Hyperlink"/>
            <w:rFonts w:cs="Calibri"/>
            <w:szCs w:val="21"/>
          </w:rPr>
          <w:t>srf-iup@dnr.iowa.gov</w:t>
        </w:r>
      </w:hyperlink>
      <w:r w:rsidR="00F6435D" w:rsidRPr="00872576">
        <w:rPr>
          <w:rFonts w:cs="Calibri"/>
          <w:szCs w:val="21"/>
        </w:rPr>
        <w:t>, with the Water Supply Engineering project submittal email (</w:t>
      </w:r>
      <w:hyperlink r:id="rId10" w:history="1">
        <w:r w:rsidR="00BB6F10" w:rsidRPr="000D71B0">
          <w:rPr>
            <w:rStyle w:val="Hyperlink"/>
            <w:rFonts w:cs="Calibri"/>
            <w:szCs w:val="21"/>
          </w:rPr>
          <w:t>watersupply-engineering@dnr.iowa.gov</w:t>
        </w:r>
      </w:hyperlink>
      <w:r w:rsidR="00F6435D" w:rsidRPr="00872576">
        <w:rPr>
          <w:rFonts w:cs="Calibri"/>
          <w:szCs w:val="21"/>
        </w:rPr>
        <w:t xml:space="preserve">) copied. </w:t>
      </w:r>
    </w:p>
    <w:p w14:paraId="7CD1EEAD" w14:textId="57443E2E" w:rsidR="00F6435D" w:rsidRPr="00872576" w:rsidRDefault="00F6435D" w:rsidP="002622CB">
      <w:pPr>
        <w:tabs>
          <w:tab w:val="left" w:pos="2880"/>
        </w:tabs>
        <w:rPr>
          <w:rFonts w:cs="Calibri"/>
          <w:szCs w:val="21"/>
        </w:rPr>
      </w:pPr>
    </w:p>
    <w:p w14:paraId="1CBE66CD" w14:textId="77777777" w:rsidR="002622CB" w:rsidRPr="00872576" w:rsidRDefault="002622CB" w:rsidP="002622CB">
      <w:p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 xml:space="preserve">The information needed for this plan to be considered complete </w:t>
      </w:r>
      <w:r w:rsidR="004F7BB4" w:rsidRPr="00872576">
        <w:rPr>
          <w:rFonts w:cs="Calibri"/>
          <w:szCs w:val="21"/>
        </w:rPr>
        <w:t>and for a Water Supply Engineering</w:t>
      </w:r>
      <w:r w:rsidR="00F5752E" w:rsidRPr="00872576">
        <w:rPr>
          <w:rFonts w:cs="Calibri"/>
          <w:szCs w:val="21"/>
        </w:rPr>
        <w:t xml:space="preserve"> project manager to proceed towards approval</w:t>
      </w:r>
      <w:r w:rsidR="004F7BB4" w:rsidRPr="00872576">
        <w:rPr>
          <w:rFonts w:cs="Calibri"/>
          <w:szCs w:val="21"/>
        </w:rPr>
        <w:t xml:space="preserve"> </w:t>
      </w:r>
      <w:r w:rsidRPr="00872576">
        <w:rPr>
          <w:rFonts w:cs="Calibri"/>
          <w:szCs w:val="21"/>
        </w:rPr>
        <w:t>is as follows:</w:t>
      </w:r>
    </w:p>
    <w:p w14:paraId="27E7797D" w14:textId="77777777" w:rsidR="00E5293E" w:rsidRPr="00872576" w:rsidRDefault="00E5293E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Submission of Schedule 1a (DNR Form 542-3178)</w:t>
      </w:r>
    </w:p>
    <w:p w14:paraId="027C438A" w14:textId="77777777" w:rsidR="00625B1D" w:rsidRPr="00872576" w:rsidRDefault="00E5293E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Identification of the public water supply in which lead and/or galvanized downstream of lead lines are planned to be replaced</w:t>
      </w:r>
    </w:p>
    <w:p w14:paraId="762C66E1" w14:textId="3FD6CB6C" w:rsidR="00E5293E" w:rsidRPr="00872576" w:rsidRDefault="00625B1D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A</w:t>
      </w:r>
      <w:r w:rsidR="008704AF" w:rsidRPr="00872576">
        <w:rPr>
          <w:rFonts w:cs="Calibri"/>
          <w:szCs w:val="21"/>
        </w:rPr>
        <w:t>n overall project description</w:t>
      </w:r>
      <w:r w:rsidRPr="00872576">
        <w:rPr>
          <w:rFonts w:cs="Calibri"/>
          <w:szCs w:val="21"/>
        </w:rPr>
        <w:t>,</w:t>
      </w:r>
      <w:r w:rsidR="00D43940" w:rsidRPr="00872576">
        <w:rPr>
          <w:rFonts w:cs="Calibri"/>
          <w:szCs w:val="21"/>
        </w:rPr>
        <w:t xml:space="preserve"> including </w:t>
      </w:r>
      <w:r w:rsidRPr="00872576">
        <w:rPr>
          <w:rFonts w:cs="Calibri"/>
          <w:szCs w:val="21"/>
        </w:rPr>
        <w:t xml:space="preserve">a proposed </w:t>
      </w:r>
      <w:r w:rsidR="00D43940" w:rsidRPr="00872576">
        <w:rPr>
          <w:rFonts w:cs="Calibri"/>
          <w:szCs w:val="21"/>
        </w:rPr>
        <w:t>timeline</w:t>
      </w:r>
      <w:r w:rsidRPr="00872576">
        <w:rPr>
          <w:rFonts w:cs="Calibri"/>
          <w:szCs w:val="21"/>
        </w:rPr>
        <w:t xml:space="preserve"> for the replacement work</w:t>
      </w:r>
    </w:p>
    <w:p w14:paraId="1ADDEBD8" w14:textId="2652325E" w:rsidR="00625B1D" w:rsidRPr="00872576" w:rsidRDefault="00625B1D" w:rsidP="00BB6F10">
      <w:pPr>
        <w:pStyle w:val="ListParagraph"/>
        <w:numPr>
          <w:ilvl w:val="1"/>
          <w:numId w:val="7"/>
        </w:numPr>
        <w:ind w:left="1080"/>
        <w:rPr>
          <w:rFonts w:cs="Calibri"/>
          <w:szCs w:val="21"/>
        </w:rPr>
      </w:pPr>
      <w:r w:rsidRPr="00872576">
        <w:rPr>
          <w:rFonts w:cs="Calibri"/>
          <w:szCs w:val="21"/>
        </w:rPr>
        <w:t>If there are more lines than can reasonably be replaced in 2-3 years, separate them into multiple 2-3 year phases</w:t>
      </w:r>
    </w:p>
    <w:p w14:paraId="2073C7F7" w14:textId="74093D93" w:rsidR="00E5293E" w:rsidRPr="00872576" w:rsidRDefault="00E5293E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Location of service lines to be replaced</w:t>
      </w:r>
      <w:r w:rsidR="00897BA6" w:rsidRPr="00872576">
        <w:rPr>
          <w:rFonts w:cs="Calibri"/>
          <w:szCs w:val="21"/>
        </w:rPr>
        <w:t>, listed by address</w:t>
      </w:r>
      <w:r w:rsidR="009B16B3" w:rsidRPr="00872576">
        <w:rPr>
          <w:rFonts w:cs="Calibri"/>
          <w:szCs w:val="21"/>
        </w:rPr>
        <w:t xml:space="preserve"> and census tract</w:t>
      </w:r>
      <w:r w:rsidR="00897BA6" w:rsidRPr="00872576">
        <w:rPr>
          <w:rFonts w:cs="Calibri"/>
          <w:szCs w:val="21"/>
        </w:rPr>
        <w:t xml:space="preserve">, </w:t>
      </w:r>
      <w:r w:rsidRPr="00872576">
        <w:rPr>
          <w:rFonts w:cs="Calibri"/>
          <w:szCs w:val="21"/>
        </w:rPr>
        <w:t>as well as a defined area that replacement work is to occur within</w:t>
      </w:r>
      <w:r w:rsidR="00D74B32" w:rsidRPr="00872576">
        <w:rPr>
          <w:rFonts w:cs="Calibri"/>
          <w:szCs w:val="21"/>
        </w:rPr>
        <w:t xml:space="preserve"> 2-3 years</w:t>
      </w:r>
    </w:p>
    <w:p w14:paraId="14CB1CE2" w14:textId="4F05922E" w:rsidR="00E5293E" w:rsidRPr="00872576" w:rsidRDefault="00E5293E" w:rsidP="00BB6F10">
      <w:pPr>
        <w:pStyle w:val="ListParagraph"/>
        <w:numPr>
          <w:ilvl w:val="1"/>
          <w:numId w:val="7"/>
        </w:numPr>
        <w:ind w:left="1080"/>
        <w:rPr>
          <w:rFonts w:cs="Calibri"/>
          <w:szCs w:val="21"/>
        </w:rPr>
      </w:pPr>
      <w:r w:rsidRPr="00872576">
        <w:rPr>
          <w:rFonts w:cs="Calibri"/>
          <w:szCs w:val="21"/>
        </w:rPr>
        <w:t>Distinguish between lead line and galvanized line locations</w:t>
      </w:r>
    </w:p>
    <w:p w14:paraId="4F1FCEE3" w14:textId="77777777" w:rsidR="00E5293E" w:rsidRPr="00872576" w:rsidRDefault="00E5293E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Separate identification of unknown service line materials and/or likely lead materials can be included</w:t>
      </w:r>
    </w:p>
    <w:p w14:paraId="1250AA91" w14:textId="4D9B6C90" w:rsidR="00F6435D" w:rsidRPr="00872576" w:rsidRDefault="00F6435D" w:rsidP="00BB6F10">
      <w:pPr>
        <w:pStyle w:val="ListParagraph"/>
        <w:numPr>
          <w:ilvl w:val="1"/>
          <w:numId w:val="7"/>
        </w:numPr>
        <w:ind w:left="1080"/>
        <w:rPr>
          <w:rFonts w:cs="Calibri"/>
          <w:szCs w:val="21"/>
        </w:rPr>
      </w:pPr>
      <w:r w:rsidRPr="00872576">
        <w:rPr>
          <w:rFonts w:cs="Calibri"/>
          <w:szCs w:val="21"/>
        </w:rPr>
        <w:lastRenderedPageBreak/>
        <w:t>Inclusion of unknowns and/or likely lead service lines will allow the environmental review</w:t>
      </w:r>
      <w:r w:rsidR="008C7F7E" w:rsidRPr="00872576">
        <w:rPr>
          <w:rFonts w:cs="Calibri"/>
          <w:szCs w:val="21"/>
        </w:rPr>
        <w:t xml:space="preserve"> process</w:t>
      </w:r>
      <w:r w:rsidRPr="00872576">
        <w:rPr>
          <w:rFonts w:cs="Calibri"/>
          <w:szCs w:val="21"/>
        </w:rPr>
        <w:t xml:space="preserve"> to cover the work needed to determine if those lines are indeed lead. If they are found to be </w:t>
      </w:r>
      <w:proofErr w:type="gramStart"/>
      <w:r w:rsidRPr="00872576">
        <w:rPr>
          <w:rFonts w:cs="Calibri"/>
          <w:szCs w:val="21"/>
        </w:rPr>
        <w:t>lead</w:t>
      </w:r>
      <w:proofErr w:type="gramEnd"/>
      <w:r w:rsidRPr="00872576">
        <w:rPr>
          <w:rFonts w:cs="Calibri"/>
          <w:szCs w:val="21"/>
        </w:rPr>
        <w:t xml:space="preserve">, they would be expected to be </w:t>
      </w:r>
      <w:r w:rsidR="008C7F7E" w:rsidRPr="00872576">
        <w:rPr>
          <w:rFonts w:cs="Calibri"/>
          <w:szCs w:val="21"/>
        </w:rPr>
        <w:t>included in the replacement plan</w:t>
      </w:r>
      <w:r w:rsidRPr="00872576">
        <w:rPr>
          <w:rFonts w:cs="Calibri"/>
          <w:szCs w:val="21"/>
        </w:rPr>
        <w:t>; if they are determined to not be lead, that information will be valuable for the public water supply system</w:t>
      </w:r>
      <w:r w:rsidR="00625B1D" w:rsidRPr="00872576">
        <w:rPr>
          <w:rFonts w:cs="Calibri"/>
          <w:szCs w:val="21"/>
        </w:rPr>
        <w:t>’</w:t>
      </w:r>
      <w:r w:rsidRPr="00872576">
        <w:rPr>
          <w:rFonts w:cs="Calibri"/>
          <w:szCs w:val="21"/>
        </w:rPr>
        <w:t xml:space="preserve">s lead service line inventory. </w:t>
      </w:r>
    </w:p>
    <w:p w14:paraId="3BAC36D2" w14:textId="77777777" w:rsidR="002622CB" w:rsidRPr="00872576" w:rsidRDefault="002622CB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Ownership status of service lines</w:t>
      </w:r>
    </w:p>
    <w:p w14:paraId="58BFEE54" w14:textId="77777777" w:rsidR="00E5293E" w:rsidRPr="00872576" w:rsidRDefault="00E5293E" w:rsidP="00BB6F10">
      <w:pPr>
        <w:pStyle w:val="ListParagraph"/>
        <w:numPr>
          <w:ilvl w:val="1"/>
          <w:numId w:val="7"/>
        </w:numPr>
        <w:ind w:left="1080"/>
        <w:rPr>
          <w:rFonts w:cs="Calibri"/>
          <w:szCs w:val="21"/>
        </w:rPr>
      </w:pPr>
      <w:r w:rsidRPr="00872576">
        <w:rPr>
          <w:rFonts w:cs="Calibri"/>
          <w:szCs w:val="21"/>
        </w:rPr>
        <w:t>Include a description of how this ownership was established (existing ordinances, etc.)</w:t>
      </w:r>
    </w:p>
    <w:p w14:paraId="5626F6C3" w14:textId="1C13255F" w:rsidR="00896B70" w:rsidRPr="00872576" w:rsidRDefault="00896B70" w:rsidP="00896B70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Estimated project costs</w:t>
      </w:r>
      <w:r w:rsidR="00625B1D" w:rsidRPr="00872576">
        <w:rPr>
          <w:rFonts w:cs="Calibri"/>
          <w:szCs w:val="21"/>
        </w:rPr>
        <w:t>, with costs split by phase if multiple phases of work are proposed</w:t>
      </w:r>
    </w:p>
    <w:p w14:paraId="2FD58669" w14:textId="648AE07B" w:rsidR="002622CB" w:rsidRPr="00872576" w:rsidRDefault="002622CB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 xml:space="preserve">Description of communication plan with </w:t>
      </w:r>
      <w:r w:rsidR="00625B1D" w:rsidRPr="00872576">
        <w:rPr>
          <w:rFonts w:cs="Calibri"/>
          <w:szCs w:val="21"/>
        </w:rPr>
        <w:t xml:space="preserve">service line </w:t>
      </w:r>
      <w:r w:rsidRPr="00872576">
        <w:rPr>
          <w:rFonts w:cs="Calibri"/>
          <w:szCs w:val="21"/>
        </w:rPr>
        <w:t>owners</w:t>
      </w:r>
    </w:p>
    <w:p w14:paraId="2D922F61" w14:textId="77777777" w:rsidR="00F6435D" w:rsidRPr="00872576" w:rsidRDefault="00F6435D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Description of plans regarding risk management for the lead service line replacement work</w:t>
      </w:r>
    </w:p>
    <w:p w14:paraId="5C306FC8" w14:textId="77777777" w:rsidR="002622CB" w:rsidRPr="00872576" w:rsidRDefault="002622CB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Plan</w:t>
      </w:r>
      <w:r w:rsidR="00E5293E" w:rsidRPr="00872576">
        <w:rPr>
          <w:rFonts w:cs="Calibri"/>
          <w:szCs w:val="21"/>
        </w:rPr>
        <w:t>s</w:t>
      </w:r>
      <w:r w:rsidRPr="00872576">
        <w:rPr>
          <w:rFonts w:cs="Calibri"/>
          <w:szCs w:val="21"/>
        </w:rPr>
        <w:t xml:space="preserve"> for gaining access to property</w:t>
      </w:r>
      <w:r w:rsidR="00E5293E" w:rsidRPr="00872576">
        <w:rPr>
          <w:rFonts w:cs="Calibri"/>
          <w:szCs w:val="21"/>
        </w:rPr>
        <w:t>, especially private property</w:t>
      </w:r>
    </w:p>
    <w:p w14:paraId="493D39CD" w14:textId="44C6E7C3" w:rsidR="002622CB" w:rsidRPr="00872576" w:rsidRDefault="00E5293E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Documentation of any</w:t>
      </w:r>
      <w:r w:rsidR="00FC42C4" w:rsidRPr="00872576">
        <w:rPr>
          <w:rFonts w:cs="Calibri"/>
          <w:szCs w:val="21"/>
        </w:rPr>
        <w:t xml:space="preserve"> anticipated</w:t>
      </w:r>
      <w:r w:rsidRPr="00872576">
        <w:rPr>
          <w:rFonts w:cs="Calibri"/>
          <w:szCs w:val="21"/>
        </w:rPr>
        <w:t xml:space="preserve"> e</w:t>
      </w:r>
      <w:r w:rsidR="002622CB" w:rsidRPr="00872576">
        <w:rPr>
          <w:rFonts w:cs="Calibri"/>
          <w:szCs w:val="21"/>
        </w:rPr>
        <w:t>asements needed</w:t>
      </w:r>
      <w:r w:rsidRPr="00872576">
        <w:rPr>
          <w:rFonts w:cs="Calibri"/>
          <w:szCs w:val="21"/>
        </w:rPr>
        <w:t xml:space="preserve"> for the replacement work</w:t>
      </w:r>
    </w:p>
    <w:p w14:paraId="4CDF47C3" w14:textId="1F80C331" w:rsidR="00F6435D" w:rsidRPr="00872576" w:rsidRDefault="00F6435D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Anticipated construction method(s) to be used for the replacement work</w:t>
      </w:r>
    </w:p>
    <w:p w14:paraId="5044300C" w14:textId="77777777" w:rsidR="00BF1112" w:rsidRPr="00872576" w:rsidRDefault="00BF1112" w:rsidP="00BF1112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Confirmation or verification of the anticipated depth of service line replacement work</w:t>
      </w:r>
    </w:p>
    <w:p w14:paraId="62F421A9" w14:textId="77777777" w:rsidR="00BF1112" w:rsidRPr="00872576" w:rsidRDefault="00BF1112" w:rsidP="00BF1112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Circumstances in which depth of the replacement service line will exceed the existing service line depth</w:t>
      </w:r>
    </w:p>
    <w:p w14:paraId="29CCFE00" w14:textId="4BE74CF6" w:rsidR="00BF1112" w:rsidRPr="00872576" w:rsidRDefault="00BF1112" w:rsidP="00BF1112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Description of any work that would disturb buildings the service lines serve, including drilling holes, etc.</w:t>
      </w:r>
    </w:p>
    <w:p w14:paraId="26DC5A7F" w14:textId="03804A38" w:rsidR="00BA51C0" w:rsidRPr="00872576" w:rsidRDefault="00BA51C0" w:rsidP="00F6435D">
      <w:pPr>
        <w:pStyle w:val="ListParagraph"/>
        <w:numPr>
          <w:ilvl w:val="0"/>
          <w:numId w:val="7"/>
        </w:num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>Address list of properties listed on National Register of Historic Places or properties located in a historic district</w:t>
      </w:r>
    </w:p>
    <w:p w14:paraId="7B354B81" w14:textId="77777777" w:rsidR="0034692A" w:rsidRPr="00872576" w:rsidRDefault="0034692A" w:rsidP="0034692A">
      <w:pPr>
        <w:tabs>
          <w:tab w:val="left" w:pos="2880"/>
        </w:tabs>
        <w:rPr>
          <w:rFonts w:cs="Calibri"/>
          <w:szCs w:val="21"/>
        </w:rPr>
      </w:pPr>
    </w:p>
    <w:p w14:paraId="469E7FFC" w14:textId="2359782E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  <w:r w:rsidRPr="00872576">
        <w:rPr>
          <w:rFonts w:cs="Calibri"/>
          <w:szCs w:val="21"/>
        </w:rPr>
        <w:t xml:space="preserve">After the Water Supply Engineering project manager has reviewed and ensured the plan is complete, an approval letter will be issued. </w:t>
      </w:r>
      <w:r w:rsidR="00165543" w:rsidRPr="00872576">
        <w:rPr>
          <w:rFonts w:cs="Calibri"/>
          <w:szCs w:val="21"/>
        </w:rPr>
        <w:t>In the future, more</w:t>
      </w:r>
      <w:r w:rsidR="00597635" w:rsidRPr="00872576">
        <w:rPr>
          <w:rFonts w:cs="Calibri"/>
          <w:szCs w:val="21"/>
        </w:rPr>
        <w:t xml:space="preserve"> information will be available regarding</w:t>
      </w:r>
      <w:r w:rsidR="00165543" w:rsidRPr="00872576">
        <w:rPr>
          <w:rFonts w:cs="Calibri"/>
          <w:szCs w:val="21"/>
        </w:rPr>
        <w:t xml:space="preserve"> the rest of the SRF process for LSLR projects. </w:t>
      </w:r>
    </w:p>
    <w:p w14:paraId="49A0C495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37A26065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6B58DB7B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4AE8E0E3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6308512F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511F676B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3CCF4A90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776C5638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12348F5E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056CC7B8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393684A8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7B8BFE50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44A848BC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06FB2FF0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6D6AC348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33D28ABB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59444D92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19371E7E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  <w:bookmarkStart w:id="0" w:name="_GoBack"/>
      <w:bookmarkEnd w:id="0"/>
    </w:p>
    <w:p w14:paraId="72998F54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081C7544" w14:textId="77777777" w:rsidR="00890AB9" w:rsidRPr="00872576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7C47C188" w14:textId="06CF3A11" w:rsidR="00890AB9" w:rsidRDefault="00890AB9" w:rsidP="0034692A">
      <w:pPr>
        <w:tabs>
          <w:tab w:val="left" w:pos="2880"/>
        </w:tabs>
        <w:rPr>
          <w:rFonts w:cs="Calibri"/>
          <w:szCs w:val="21"/>
        </w:rPr>
      </w:pPr>
    </w:p>
    <w:p w14:paraId="115D9515" w14:textId="77777777" w:rsidR="0034692A" w:rsidRPr="00872576" w:rsidRDefault="0034692A" w:rsidP="0034692A">
      <w:pPr>
        <w:tabs>
          <w:tab w:val="left" w:pos="2880"/>
        </w:tabs>
        <w:rPr>
          <w:rFonts w:cs="Calibri"/>
          <w:szCs w:val="21"/>
        </w:rPr>
      </w:pPr>
    </w:p>
    <w:p w14:paraId="4E2D0B43" w14:textId="77777777" w:rsidR="0034692A" w:rsidRPr="008C3480" w:rsidRDefault="0034692A" w:rsidP="0034692A">
      <w:pPr>
        <w:autoSpaceDE w:val="0"/>
        <w:autoSpaceDN w:val="0"/>
        <w:adjustRightInd w:val="0"/>
        <w:rPr>
          <w:rFonts w:cs="Calibri"/>
          <w:b/>
          <w:color w:val="262626"/>
          <w:sz w:val="28"/>
          <w:szCs w:val="24"/>
        </w:rPr>
      </w:pPr>
      <w:r w:rsidRPr="008C3480">
        <w:rPr>
          <w:rFonts w:cs="Calibri"/>
          <w:b/>
          <w:color w:val="262626"/>
          <w:sz w:val="28"/>
          <w:szCs w:val="24"/>
        </w:rPr>
        <w:t>Links and Resources</w:t>
      </w:r>
    </w:p>
    <w:p w14:paraId="17560314" w14:textId="147158D8" w:rsidR="00A97D41" w:rsidRDefault="00A97D41" w:rsidP="002622CB">
      <w:pPr>
        <w:tabs>
          <w:tab w:val="left" w:pos="2880"/>
        </w:tabs>
      </w:pPr>
      <w:hyperlink r:id="rId11" w:history="1">
        <w:r w:rsidRPr="00A97D41">
          <w:rPr>
            <w:rStyle w:val="Hyperlink"/>
          </w:rPr>
          <w:t>Iowa Department of Natural Resources Lead Service Line Inventory Resources</w:t>
        </w:r>
      </w:hyperlink>
    </w:p>
    <w:p w14:paraId="5B6A00A7" w14:textId="0CA7EAA0" w:rsidR="00A97D41" w:rsidRDefault="00A97D41" w:rsidP="002622CB">
      <w:pPr>
        <w:tabs>
          <w:tab w:val="left" w:pos="2880"/>
        </w:tabs>
      </w:pPr>
    </w:p>
    <w:p w14:paraId="20E0BB71" w14:textId="20C1BD1F" w:rsidR="00A97D41" w:rsidRDefault="00A97D41" w:rsidP="002622CB">
      <w:pPr>
        <w:tabs>
          <w:tab w:val="left" w:pos="2880"/>
        </w:tabs>
      </w:pPr>
      <w:hyperlink r:id="rId12" w:history="1">
        <w:r w:rsidRPr="00A97D41">
          <w:rPr>
            <w:rStyle w:val="Hyperlink"/>
          </w:rPr>
          <w:t>Iowa State Revolving Fund Bipartisan Infrastructure Law (BIL) Funding Opportunities</w:t>
        </w:r>
      </w:hyperlink>
    </w:p>
    <w:p w14:paraId="56FF2D8D" w14:textId="77777777" w:rsidR="00A97D41" w:rsidRDefault="00A97D41" w:rsidP="002622CB">
      <w:pPr>
        <w:tabs>
          <w:tab w:val="left" w:pos="2880"/>
        </w:tabs>
      </w:pPr>
    </w:p>
    <w:p w14:paraId="3115F1DE" w14:textId="59C0DD85" w:rsidR="002622CB" w:rsidRPr="00872576" w:rsidRDefault="00054356" w:rsidP="002622CB">
      <w:pPr>
        <w:tabs>
          <w:tab w:val="left" w:pos="2880"/>
        </w:tabs>
        <w:rPr>
          <w:rFonts w:cs="Calibri"/>
          <w:szCs w:val="22"/>
        </w:rPr>
      </w:pPr>
      <w:hyperlink r:id="rId13" w:history="1">
        <w:r w:rsidR="002622CB" w:rsidRPr="00872576">
          <w:rPr>
            <w:rStyle w:val="Hyperlink"/>
            <w:rFonts w:cs="Calibri"/>
            <w:szCs w:val="22"/>
          </w:rPr>
          <w:t>EPA Guidance for Developing and Maintaining a Service Line Inventory</w:t>
        </w:r>
      </w:hyperlink>
    </w:p>
    <w:p w14:paraId="31EC9409" w14:textId="77777777" w:rsidR="00100609" w:rsidRPr="00872576" w:rsidRDefault="00100609" w:rsidP="002622CB">
      <w:pPr>
        <w:tabs>
          <w:tab w:val="left" w:pos="2880"/>
        </w:tabs>
        <w:rPr>
          <w:rFonts w:cs="Calibri"/>
          <w:szCs w:val="22"/>
        </w:rPr>
      </w:pPr>
    </w:p>
    <w:p w14:paraId="5BF7F48F" w14:textId="77777777" w:rsidR="002622CB" w:rsidRPr="00872576" w:rsidRDefault="002622CB" w:rsidP="002622CB">
      <w:pPr>
        <w:tabs>
          <w:tab w:val="left" w:pos="2880"/>
        </w:tabs>
        <w:rPr>
          <w:rFonts w:cs="Calibri"/>
          <w:szCs w:val="22"/>
        </w:rPr>
      </w:pPr>
      <w:r w:rsidRPr="00872576">
        <w:rPr>
          <w:rFonts w:cs="Calibri"/>
          <w:szCs w:val="22"/>
        </w:rPr>
        <w:t>AWWA Standard C810-17, Replacement and Flushing of Lead Service Lines</w:t>
      </w:r>
    </w:p>
    <w:p w14:paraId="526E033D" w14:textId="77777777" w:rsidR="00100609" w:rsidRPr="00872576" w:rsidRDefault="00100609" w:rsidP="002622CB">
      <w:pPr>
        <w:tabs>
          <w:tab w:val="left" w:pos="2880"/>
        </w:tabs>
        <w:rPr>
          <w:rFonts w:cs="Calibri"/>
          <w:szCs w:val="22"/>
        </w:rPr>
      </w:pPr>
    </w:p>
    <w:p w14:paraId="617F2D93" w14:textId="2F4AB38E" w:rsidR="004906D9" w:rsidRPr="00872576" w:rsidRDefault="002622CB" w:rsidP="002622CB">
      <w:pPr>
        <w:tabs>
          <w:tab w:val="left" w:pos="2880"/>
        </w:tabs>
        <w:rPr>
          <w:rFonts w:cs="Calibri"/>
          <w:szCs w:val="22"/>
        </w:rPr>
      </w:pPr>
      <w:r w:rsidRPr="00872576">
        <w:rPr>
          <w:rFonts w:cs="Calibri"/>
          <w:szCs w:val="22"/>
        </w:rPr>
        <w:t>AWWA guide</w:t>
      </w:r>
      <w:r w:rsidR="00CB7141" w:rsidRPr="00872576">
        <w:rPr>
          <w:rFonts w:cs="Calibri"/>
          <w:szCs w:val="22"/>
        </w:rPr>
        <w:t>,</w:t>
      </w:r>
      <w:r w:rsidRPr="00872576">
        <w:rPr>
          <w:rFonts w:cs="Calibri"/>
          <w:szCs w:val="22"/>
        </w:rPr>
        <w:t xml:space="preserve"> Communicating About Lead Service Lines: A Guide for Water Systems Addressing Service Line Repair and Replacement</w:t>
      </w:r>
    </w:p>
    <w:sectPr w:rsidR="004906D9" w:rsidRPr="00872576" w:rsidSect="00DD05EF">
      <w:headerReference w:type="default" r:id="rId14"/>
      <w:footerReference w:type="default" r:id="rId1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6938" w14:textId="77777777" w:rsidR="00054356" w:rsidRDefault="00054356">
      <w:r>
        <w:separator/>
      </w:r>
    </w:p>
  </w:endnote>
  <w:endnote w:type="continuationSeparator" w:id="0">
    <w:p w14:paraId="7DC9967A" w14:textId="77777777" w:rsidR="00054356" w:rsidRDefault="0005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0904" w14:textId="77777777" w:rsidR="0040342B" w:rsidRDefault="00F30ED3" w:rsidP="00AA7490">
    <w:pPr>
      <w:pStyle w:val="Footer"/>
      <w:jc w:val="center"/>
    </w:pPr>
    <w:r>
      <w:rPr>
        <w:noProof/>
      </w:rPr>
      <w:drawing>
        <wp:inline distT="0" distB="0" distL="0" distR="0" wp14:anchorId="2323393A" wp14:editId="195732A6">
          <wp:extent cx="6858000" cy="457200"/>
          <wp:effectExtent l="0" t="0" r="0" b="0"/>
          <wp:docPr id="8" name="Picture 8" descr="\\iowa.gov.state.ia.us\data\DNR_COMM_COMM\Templates\Factsheet\Microsoft Word Format\DNR 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iowa.gov.state.ia.us\data\DNR_COMM_COMM\Templates\Factsheet\Microsoft Word Format\DNR Footer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8027" w14:textId="77777777" w:rsidR="00054356" w:rsidRDefault="00054356">
      <w:r>
        <w:separator/>
      </w:r>
    </w:p>
  </w:footnote>
  <w:footnote w:type="continuationSeparator" w:id="0">
    <w:p w14:paraId="0900AEF1" w14:textId="77777777" w:rsidR="00054356" w:rsidRDefault="0005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27D8" w14:textId="77777777" w:rsidR="004906D9" w:rsidRDefault="00F30ED3">
    <w:pPr>
      <w:pStyle w:val="Header"/>
    </w:pPr>
    <w:r>
      <w:rPr>
        <w:noProof/>
      </w:rPr>
      <w:drawing>
        <wp:inline distT="0" distB="0" distL="0" distR="0" wp14:anchorId="6FA84660" wp14:editId="25A0C145">
          <wp:extent cx="6858000" cy="1370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R Headers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7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1E75"/>
    <w:multiLevelType w:val="hybridMultilevel"/>
    <w:tmpl w:val="60D0A988"/>
    <w:lvl w:ilvl="0" w:tplc="637AA3B6">
      <w:start w:val="1"/>
      <w:numFmt w:val="bullet"/>
      <w:lvlText w:val=""/>
      <w:lvlJc w:val="left"/>
      <w:pPr>
        <w:tabs>
          <w:tab w:val="num" w:pos="144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52CE"/>
    <w:multiLevelType w:val="multilevel"/>
    <w:tmpl w:val="ECCE3DC2"/>
    <w:lvl w:ilvl="0">
      <w:start w:val="1"/>
      <w:numFmt w:val="bullet"/>
      <w:lvlText w:val="­"/>
      <w:lvlJc w:val="left"/>
      <w:pPr>
        <w:tabs>
          <w:tab w:val="num" w:pos="72"/>
        </w:tabs>
        <w:ind w:left="576" w:hanging="50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6C1D"/>
    <w:multiLevelType w:val="hybridMultilevel"/>
    <w:tmpl w:val="E442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142"/>
    <w:multiLevelType w:val="hybridMultilevel"/>
    <w:tmpl w:val="ECCE3DC2"/>
    <w:lvl w:ilvl="0" w:tplc="81F4FFBE">
      <w:start w:val="1"/>
      <w:numFmt w:val="bullet"/>
      <w:lvlText w:val="­"/>
      <w:lvlJc w:val="left"/>
      <w:pPr>
        <w:tabs>
          <w:tab w:val="num" w:pos="72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328"/>
    <w:multiLevelType w:val="hybridMultilevel"/>
    <w:tmpl w:val="AC8AD49C"/>
    <w:lvl w:ilvl="0" w:tplc="637AA3B6">
      <w:start w:val="1"/>
      <w:numFmt w:val="bullet"/>
      <w:lvlText w:val=""/>
      <w:lvlJc w:val="left"/>
      <w:pPr>
        <w:tabs>
          <w:tab w:val="num" w:pos="432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50507EE"/>
    <w:multiLevelType w:val="multilevel"/>
    <w:tmpl w:val="60D0A988"/>
    <w:lvl w:ilvl="0">
      <w:start w:val="1"/>
      <w:numFmt w:val="bullet"/>
      <w:lvlText w:val=""/>
      <w:lvlJc w:val="left"/>
      <w:pPr>
        <w:tabs>
          <w:tab w:val="num" w:pos="144"/>
        </w:tabs>
        <w:ind w:left="21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A3C9E"/>
    <w:multiLevelType w:val="multilevel"/>
    <w:tmpl w:val="ECCE3DC2"/>
    <w:lvl w:ilvl="0">
      <w:start w:val="1"/>
      <w:numFmt w:val="bullet"/>
      <w:lvlText w:val="­"/>
      <w:lvlJc w:val="left"/>
      <w:pPr>
        <w:tabs>
          <w:tab w:val="num" w:pos="72"/>
        </w:tabs>
        <w:ind w:left="576" w:hanging="50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5E"/>
    <w:rsid w:val="00054356"/>
    <w:rsid w:val="00090A62"/>
    <w:rsid w:val="000E6894"/>
    <w:rsid w:val="000F4B38"/>
    <w:rsid w:val="000F66E7"/>
    <w:rsid w:val="00100609"/>
    <w:rsid w:val="00165543"/>
    <w:rsid w:val="002323DA"/>
    <w:rsid w:val="00242ECB"/>
    <w:rsid w:val="002622CB"/>
    <w:rsid w:val="00271A4A"/>
    <w:rsid w:val="0034692A"/>
    <w:rsid w:val="003F3688"/>
    <w:rsid w:val="0040342B"/>
    <w:rsid w:val="0044652C"/>
    <w:rsid w:val="00457371"/>
    <w:rsid w:val="004906D9"/>
    <w:rsid w:val="004C5610"/>
    <w:rsid w:val="004D47F3"/>
    <w:rsid w:val="004F7BB4"/>
    <w:rsid w:val="0051585E"/>
    <w:rsid w:val="00555AF4"/>
    <w:rsid w:val="00583CAF"/>
    <w:rsid w:val="0059051D"/>
    <w:rsid w:val="00597635"/>
    <w:rsid w:val="005A27AF"/>
    <w:rsid w:val="00625B1D"/>
    <w:rsid w:val="00651904"/>
    <w:rsid w:val="006C60DC"/>
    <w:rsid w:val="006F1DC2"/>
    <w:rsid w:val="006F446F"/>
    <w:rsid w:val="007403B3"/>
    <w:rsid w:val="00764989"/>
    <w:rsid w:val="007A129C"/>
    <w:rsid w:val="007B773B"/>
    <w:rsid w:val="00837A9B"/>
    <w:rsid w:val="00862A3E"/>
    <w:rsid w:val="0086612F"/>
    <w:rsid w:val="008704AF"/>
    <w:rsid w:val="00872576"/>
    <w:rsid w:val="008733B6"/>
    <w:rsid w:val="008832B9"/>
    <w:rsid w:val="00890566"/>
    <w:rsid w:val="00890AB9"/>
    <w:rsid w:val="00896B70"/>
    <w:rsid w:val="00897BA6"/>
    <w:rsid w:val="008A27D9"/>
    <w:rsid w:val="008B336E"/>
    <w:rsid w:val="008C3480"/>
    <w:rsid w:val="008C38A8"/>
    <w:rsid w:val="008C7F7E"/>
    <w:rsid w:val="008D0D23"/>
    <w:rsid w:val="00912683"/>
    <w:rsid w:val="009402AC"/>
    <w:rsid w:val="00952DBF"/>
    <w:rsid w:val="009A1AE6"/>
    <w:rsid w:val="009B16B3"/>
    <w:rsid w:val="009C4560"/>
    <w:rsid w:val="00A05A93"/>
    <w:rsid w:val="00A97D41"/>
    <w:rsid w:val="00AA7490"/>
    <w:rsid w:val="00B1400B"/>
    <w:rsid w:val="00BA51C0"/>
    <w:rsid w:val="00BB6F10"/>
    <w:rsid w:val="00BB75B0"/>
    <w:rsid w:val="00BE5A66"/>
    <w:rsid w:val="00BF1112"/>
    <w:rsid w:val="00C01137"/>
    <w:rsid w:val="00C13DE0"/>
    <w:rsid w:val="00C62425"/>
    <w:rsid w:val="00C83B44"/>
    <w:rsid w:val="00CA076E"/>
    <w:rsid w:val="00CB51B6"/>
    <w:rsid w:val="00CB7141"/>
    <w:rsid w:val="00D1326E"/>
    <w:rsid w:val="00D43940"/>
    <w:rsid w:val="00D671A7"/>
    <w:rsid w:val="00D74B32"/>
    <w:rsid w:val="00D75B67"/>
    <w:rsid w:val="00DD05EF"/>
    <w:rsid w:val="00E5293E"/>
    <w:rsid w:val="00ED51EC"/>
    <w:rsid w:val="00EE6FEF"/>
    <w:rsid w:val="00F00F37"/>
    <w:rsid w:val="00F163AF"/>
    <w:rsid w:val="00F30ED3"/>
    <w:rsid w:val="00F35EC5"/>
    <w:rsid w:val="00F5752E"/>
    <w:rsid w:val="00F6435D"/>
    <w:rsid w:val="00F8138E"/>
    <w:rsid w:val="00FC42C4"/>
    <w:rsid w:val="00FD6D31"/>
    <w:rsid w:val="00FE6727"/>
    <w:rsid w:val="00FE7C69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C892C"/>
  <w15:docId w15:val="{3F923B15-7663-4DA3-B9A3-45CF3B22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F10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0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6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75B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35D"/>
    <w:pPr>
      <w:ind w:left="720"/>
      <w:contextualSpacing/>
    </w:pPr>
  </w:style>
  <w:style w:type="character" w:styleId="Hyperlink">
    <w:name w:val="Hyperlink"/>
    <w:basedOn w:val="DefaultParagraphFont"/>
    <w:unhideWhenUsed/>
    <w:rsid w:val="001006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35E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5E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5EC5"/>
    <w:rPr>
      <w:rFonts w:ascii="Arial" w:eastAsia="Calibri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5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5EC5"/>
    <w:rPr>
      <w:rFonts w:ascii="Arial" w:eastAsia="Calibr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6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.naber@dnr.iowa.gov" TargetMode="External"/><Relationship Id="rId13" Type="http://schemas.openxmlformats.org/officeDocument/2006/relationships/hyperlink" Target="https://www.epa.gov/system/files/documents/2022-08/Inventory%20Guidance_August%202022_508%20complia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owasrf.com/infrastructure-bill-funding-opportuniti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owadnr.gov/Environmental-Protection/Water-Quality/Drinking-Water-Compliance/Lead-Service-Line-Inventor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atersupply-engineering@dnr.io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f-iup@dnr.iowa.go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8CA5-E0F9-43A5-B4C3-FAF920F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Iowa DNR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subject>BIL LSLR Plans</dc:subject>
  <dc:creator>Tara Naber</dc:creator>
  <cp:keywords>LSLR;DWSRF</cp:keywords>
  <dc:description/>
  <cp:lastModifiedBy>Naber, Tara [DNR]</cp:lastModifiedBy>
  <cp:revision>2</cp:revision>
  <dcterms:created xsi:type="dcterms:W3CDTF">2023-04-21T13:06:00Z</dcterms:created>
  <dcterms:modified xsi:type="dcterms:W3CDTF">2023-04-21T13:06:00Z</dcterms:modified>
</cp:coreProperties>
</file>